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E3" w:rsidRPr="00C71FAC" w:rsidRDefault="008C13E3">
      <w:pPr>
        <w:pStyle w:val="ConsPlusNormal"/>
        <w:outlineLvl w:val="0"/>
      </w:pPr>
      <w:r w:rsidRPr="00C71FAC">
        <w:t>Зарегистрировано в Минюсте России 4 мая 2023 г. N 73226</w:t>
      </w:r>
    </w:p>
    <w:p w:rsidR="008C13E3" w:rsidRPr="00C71FAC" w:rsidRDefault="008C13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3E3" w:rsidRPr="00C71FAC" w:rsidRDefault="008C13E3">
      <w:pPr>
        <w:pStyle w:val="ConsPlusNormal"/>
      </w:pPr>
    </w:p>
    <w:p w:rsidR="008C13E3" w:rsidRPr="00C71FAC" w:rsidRDefault="008C13E3">
      <w:pPr>
        <w:pStyle w:val="ConsPlusTitle"/>
        <w:jc w:val="center"/>
      </w:pPr>
      <w:r w:rsidRPr="00C71FAC">
        <w:t>МИНИСТЕРСТВО ЗДРАВООХРАНЕНИЯ РОССИЙСКОЙ ФЕДЕРАЦИИ</w:t>
      </w:r>
    </w:p>
    <w:p w:rsidR="008C13E3" w:rsidRPr="00C71FAC" w:rsidRDefault="008C13E3">
      <w:pPr>
        <w:pStyle w:val="ConsPlusTitle"/>
        <w:jc w:val="center"/>
      </w:pPr>
    </w:p>
    <w:p w:rsidR="008C13E3" w:rsidRPr="00C71FAC" w:rsidRDefault="008C13E3">
      <w:pPr>
        <w:pStyle w:val="ConsPlusTitle"/>
        <w:jc w:val="center"/>
      </w:pPr>
      <w:r w:rsidRPr="00C71FAC">
        <w:t>ПРИКАЗ</w:t>
      </w:r>
    </w:p>
    <w:p w:rsidR="008C13E3" w:rsidRPr="00C71FAC" w:rsidRDefault="008C13E3">
      <w:pPr>
        <w:pStyle w:val="ConsPlusTitle"/>
        <w:jc w:val="center"/>
      </w:pPr>
      <w:r w:rsidRPr="00C71FAC">
        <w:t>от 10 февраля 2023 г. N 44н</w:t>
      </w:r>
    </w:p>
    <w:p w:rsidR="008C13E3" w:rsidRPr="00C71FAC" w:rsidRDefault="008C13E3">
      <w:pPr>
        <w:pStyle w:val="ConsPlusTitle"/>
        <w:jc w:val="center"/>
      </w:pPr>
    </w:p>
    <w:p w:rsidR="008C13E3" w:rsidRPr="00C71FAC" w:rsidRDefault="008C13E3">
      <w:pPr>
        <w:pStyle w:val="ConsPlusTitle"/>
        <w:jc w:val="center"/>
      </w:pPr>
      <w:r w:rsidRPr="00C71FAC">
        <w:t>ОБ УТВЕРЖДЕНИИ ТРЕБОВАНИЙ</w:t>
      </w:r>
    </w:p>
    <w:p w:rsidR="008C13E3" w:rsidRPr="00C71FAC" w:rsidRDefault="008C13E3">
      <w:pPr>
        <w:pStyle w:val="ConsPlusTitle"/>
        <w:jc w:val="center"/>
      </w:pPr>
      <w:r w:rsidRPr="00C71FAC">
        <w:t>К СТРУКТУРЕ И СОДЕРЖАНИЮ ТАРИФНОГО СОГЛАШЕНИЯ</w:t>
      </w:r>
    </w:p>
    <w:p w:rsidR="008C13E3" w:rsidRPr="00C71FAC" w:rsidRDefault="008C13E3">
      <w:pPr>
        <w:pStyle w:val="ConsPlusNormal"/>
        <w:jc w:val="center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 xml:space="preserve">В соответствии с </w:t>
      </w:r>
      <w:hyperlink r:id="rId4">
        <w:r w:rsidRPr="00C71FAC">
          <w:t>частью 2 статьи 30</w:t>
        </w:r>
      </w:hyperlink>
      <w:r w:rsidRPr="00C71FAC"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5">
        <w:r w:rsidRPr="00C71FAC">
          <w:t>подпунктом 5.2.136(2) пункта 5</w:t>
        </w:r>
      </w:hyperlink>
      <w:r w:rsidRPr="00C71FAC">
        <w:t xml:space="preserve"> Положения о Министерстве здравоохранения Российской Федерации, утвержденного постановлением Правительства Российской Феде</w:t>
      </w:r>
      <w:bookmarkStart w:id="0" w:name="_GoBack"/>
      <w:bookmarkEnd w:id="0"/>
      <w:r w:rsidRPr="00C71FAC">
        <w:t>рации от 19 июня 2012 г. N 608 (Собрание законодательства Российской Федерации, 2012, N 26, ст. 3526; 2020, N 52, ст. 8827), приказываю: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1. Утвердить </w:t>
      </w:r>
      <w:hyperlink w:anchor="P31">
        <w:r w:rsidRPr="00C71FAC">
          <w:t>Требования</w:t>
        </w:r>
      </w:hyperlink>
      <w:r w:rsidRPr="00C71FAC">
        <w:t xml:space="preserve"> к структуре и содержанию тарифного соглашения согласно приложению.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2. Признать утратившими силу:</w:t>
      </w:r>
    </w:p>
    <w:p w:rsidR="008C13E3" w:rsidRPr="00C71FAC" w:rsidRDefault="00C71FAC">
      <w:pPr>
        <w:pStyle w:val="ConsPlusNormal"/>
        <w:spacing w:before="220"/>
        <w:ind w:firstLine="540"/>
        <w:jc w:val="both"/>
      </w:pPr>
      <w:hyperlink r:id="rId6">
        <w:r w:rsidR="008C13E3" w:rsidRPr="00C71FAC">
          <w:t>приказ</w:t>
        </w:r>
      </w:hyperlink>
      <w:r w:rsidR="008C13E3" w:rsidRPr="00C71FAC">
        <w:t xml:space="preserve"> Министерства здравоохранения Российской Федерации от 29 декабря 2020 г. N 1397н "Об утверждении Требований к структуре и содержанию тарифного соглашения" (зарегистрирован Министерством юстиции Российской Федерации 31 декабря 2020 г., регистрационный N 62007);</w:t>
      </w:r>
    </w:p>
    <w:p w:rsidR="008C13E3" w:rsidRPr="00C71FAC" w:rsidRDefault="00C71FAC">
      <w:pPr>
        <w:pStyle w:val="ConsPlusNormal"/>
        <w:spacing w:before="220"/>
        <w:ind w:firstLine="540"/>
        <w:jc w:val="both"/>
      </w:pPr>
      <w:hyperlink r:id="rId7">
        <w:r w:rsidR="008C13E3" w:rsidRPr="00C71FAC">
          <w:t>приказ</w:t>
        </w:r>
      </w:hyperlink>
      <w:r w:rsidR="008C13E3" w:rsidRPr="00C71FAC">
        <w:t xml:space="preserve"> Министерства здравоохранения Российской Федерации от 14 января 2022 г. N 11н "О внесении изменений в Требования к структуре и содержанию тарифного соглашения, утвержденные приказом Министерства здравоохранения Российской Федерации от 29 декабря 2020 г. N 1397н" (зарегистрирован Министерством юстиции Российской Федерации 19 января 2022 г., регистрационный N 66925);</w:t>
      </w:r>
    </w:p>
    <w:p w:rsidR="008C13E3" w:rsidRPr="00C71FAC" w:rsidRDefault="00C71FAC">
      <w:pPr>
        <w:pStyle w:val="ConsPlusNormal"/>
        <w:spacing w:before="220"/>
        <w:ind w:firstLine="540"/>
        <w:jc w:val="both"/>
      </w:pPr>
      <w:hyperlink r:id="rId8">
        <w:r w:rsidR="008C13E3" w:rsidRPr="00C71FAC">
          <w:t>приказ</w:t>
        </w:r>
      </w:hyperlink>
      <w:r w:rsidR="008C13E3" w:rsidRPr="00C71FAC">
        <w:t xml:space="preserve"> Министерства здравоохранения Российской Федерации от 9 декабря 2022 г. N 785н "О внесении изменений в Требования к структуре и содержанию тарифного соглашения, утвержденные приказом Министерства здравоохранения Российской Федерации от 29 декабря 2020 г. N 1397н" (зарегистрирован Министерством юстиции Российской Федерации 13 января 2023 г., регистрационный N 71992).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jc w:val="right"/>
      </w:pPr>
      <w:r w:rsidRPr="00C71FAC">
        <w:t>Министр</w:t>
      </w:r>
    </w:p>
    <w:p w:rsidR="008C13E3" w:rsidRPr="00C71FAC" w:rsidRDefault="008C13E3">
      <w:pPr>
        <w:pStyle w:val="ConsPlusNormal"/>
        <w:jc w:val="right"/>
      </w:pPr>
      <w:r w:rsidRPr="00C71FAC">
        <w:t>М.А.МУРАШКО</w:t>
      </w: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Normal"/>
        <w:jc w:val="right"/>
        <w:outlineLvl w:val="0"/>
      </w:pPr>
      <w:r w:rsidRPr="00C71FAC">
        <w:t>Приложение</w:t>
      </w:r>
    </w:p>
    <w:p w:rsidR="008C13E3" w:rsidRPr="00C71FAC" w:rsidRDefault="008C13E3">
      <w:pPr>
        <w:pStyle w:val="ConsPlusNormal"/>
        <w:jc w:val="right"/>
      </w:pPr>
      <w:r w:rsidRPr="00C71FAC">
        <w:t>к приказу Министерства здравоохранения</w:t>
      </w:r>
    </w:p>
    <w:p w:rsidR="008C13E3" w:rsidRPr="00C71FAC" w:rsidRDefault="008C13E3">
      <w:pPr>
        <w:pStyle w:val="ConsPlusNormal"/>
        <w:jc w:val="right"/>
      </w:pPr>
      <w:r w:rsidRPr="00C71FAC">
        <w:t>Российской Федерации</w:t>
      </w:r>
    </w:p>
    <w:p w:rsidR="008C13E3" w:rsidRPr="00C71FAC" w:rsidRDefault="008C13E3">
      <w:pPr>
        <w:pStyle w:val="ConsPlusNormal"/>
        <w:jc w:val="right"/>
      </w:pPr>
      <w:r w:rsidRPr="00C71FAC">
        <w:t>от 10 февраля 2023 г. N 44н</w:t>
      </w: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Title"/>
        <w:jc w:val="center"/>
      </w:pPr>
      <w:bookmarkStart w:id="1" w:name="P31"/>
      <w:bookmarkEnd w:id="1"/>
      <w:r w:rsidRPr="00C71FAC">
        <w:t>ТРЕБОВАНИЯ К СТРУКТУРЕ И СОДЕРЖАНИЮ ТАРИФНОГО СОГЛАШЕНИЯ</w:t>
      </w:r>
    </w:p>
    <w:p w:rsidR="008C13E3" w:rsidRPr="00C71FAC" w:rsidRDefault="008C13E3">
      <w:pPr>
        <w:pStyle w:val="ConsPlusNormal"/>
        <w:jc w:val="center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 xml:space="preserve">1. Требования к структуре и содержанию тарифного соглашения, заключаемого между органом исполнительной власти субъекта Российской Федерации, уполномоченным высшим </w:t>
      </w:r>
      <w:r w:rsidRPr="00C71FAC">
        <w:lastRenderedPageBreak/>
        <w:t xml:space="preserve">исполнительным органом государственной власти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9">
        <w:r w:rsidRPr="00C71FAC">
          <w:t>статьей 76</w:t>
        </w:r>
      </w:hyperlink>
      <w:r w:rsidRPr="00C71FAC">
        <w:t xml:space="preserve"> Федерального закона от 21 ноября 2011 г. N 323-ФЗ "Об основах охраны здоровья граждан в Российской Федерации" &lt;1&gt;, и профессиональными союзами медицинских работников или их объединениями (ассоциациями), включенными в состав комиссии по разработке территориальной программы обязательного медицинского страхования (далее соответственно - Федеральный закон N 323-ФЗ, тарифное соглашение, комиссия, Требования), устанавливаются в соответствии с </w:t>
      </w:r>
      <w:hyperlink r:id="rId10">
        <w:r w:rsidRPr="00C71FAC">
          <w:t>частью 2 статьи 30</w:t>
        </w:r>
      </w:hyperlink>
      <w:r w:rsidRPr="00C71FAC">
        <w:t xml:space="preserve"> Федерального закона от 29 ноября 2010 г. N 326-ФЗ "Об обязательном медицинском страховании в Российской Федерации" &lt;2&gt; (далее - Федеральный закон N 326-ФЗ).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&lt;1&gt; Собрание законодательства Российской Федерации, 2011, N 48, ст. 6724; 2018, N 53, ст. 8415.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&lt;2&gt; Собрание законодательства Российской Федерации, 2010, N 49, ст. 6422; 2020, N 50, ст. 8075.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2. Структура тарифного соглашения включает следующие разделы: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а) общие положения;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б) способы оплаты медицинской помощи, применяемые в субъекте Российской Федерации;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в) размер и структура тарифов на оплату медицинской помощи;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г) размер неоплаты или неполной оплаты затрат медицинской организации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д) распределение объемов предоставления и финансового обеспечения медицинской помощи между медицинскими организациями &lt;3&gt; (по решению субъекта Российской Федерации);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&lt;3&gt; </w:t>
      </w:r>
      <w:hyperlink r:id="rId11">
        <w:r w:rsidRPr="00C71FAC">
          <w:t>Пункт 4</w:t>
        </w:r>
      </w:hyperlink>
      <w:r w:rsidRPr="00C71FAC">
        <w:t xml:space="preserve">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страхования, утвержденного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67559), от 13 декабря 2022 г. N 789н (зарегистрирован Министерством юстиции Российской Федерации 30 декабря 2022 г., регистрационный N 71905).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е) заключительные положения.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3. Раздел "Общие положения" включает сведения об основаниях заключения тарифного соглашения (нормативные правовые акты, в соответствии с которыми разрабатывалось и заключалось тарифное соглашение), предмете тарифного соглашения, представителях сторон комиссии, заключивших тарифное соглашение.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4. Раздел "Способы оплаты медицинской помощи, применяемые в субъекте Российской Федерации" включает сведения о применяемых способах оплаты медицинской помощи,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страхования, утверждаемой в составе программы государственных гарантий бесплатного оказания гражданам медицинской помощи &lt;4&gt;, в медицинских организациях: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&lt;4&gt; </w:t>
      </w:r>
      <w:hyperlink r:id="rId12">
        <w:r w:rsidRPr="00C71FAC">
          <w:t>Часть 1 статьи 35</w:t>
        </w:r>
      </w:hyperlink>
      <w:r w:rsidRPr="00C71FAC">
        <w:t xml:space="preserve"> Федерального закона N 326-ФЗ (Собрание законодательства Российской Федерации, 2010, N 49, ст. 6422).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а) при оплате медицинской помощи, оказанной в амбулаторных условиях;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б) при оплате медицинской помощи, оказанной в стационарных условиях;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в) при оплате медицинской помощи, оказанной в условиях дневного стационара;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г) при оплате скорой медицинской помощи, оказанной вне медицинской организации;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д) при оплате медицинской помощи в медицинских организациях, имеющих в своем составе подразделения, оказывающие медицинскую помощь в амбулаторных условиях, стационарных условиях и в условиях дневного стационара (при наличии).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4.1.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на территории субъекта Российской Федерации, в разрезе условий оказания медицинской помощи и применяемых способов оплаты медицинской помощи, отражается в приложении к тарифному соглашению.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5. Раздел "Размер и структура тарифов на оплату медицинской помощи" включает сведения об установленных тарифах на оплату медицинской помощи за счет средств обязательного медицинского страхования, порядок расчета тарифов на оплату медицинской помощи &lt;5&gt;, в том числе структуру тарифа на оплату медицинской помощи, предусмотренную </w:t>
      </w:r>
      <w:hyperlink r:id="rId13">
        <w:r w:rsidRPr="00C71FAC">
          <w:t>частью 7 статьи 35</w:t>
        </w:r>
      </w:hyperlink>
      <w:r w:rsidRPr="00C71FAC">
        <w:t xml:space="preserve"> Федерального закона N 326-ФЗ: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&lt;5&gt; </w:t>
      </w:r>
      <w:hyperlink r:id="rId14">
        <w:r w:rsidRPr="00C71FAC">
          <w:t>Глава XII</w:t>
        </w:r>
      </w:hyperlink>
      <w:r w:rsidRPr="00C71FAC">
        <w:t xml:space="preserve"> Правил обязательного медицинского страхования, утвержденных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</w:t>
      </w:r>
      <w:r w:rsidRPr="00C71FAC">
        <w:lastRenderedPageBreak/>
        <w:t>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67559), от 13 декабря 2022 г. N 789н (зарегистрирован Министерством юстиции Российской Федерации 30 декабря 2022 г., регистрационный N 71905).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bookmarkStart w:id="2" w:name="P63"/>
      <w:bookmarkEnd w:id="2"/>
      <w:r w:rsidRPr="00C71FAC">
        <w:t>5.1. При определении размера тарифов на оплату медицинской помощи в амбулаторных условиях должны устанавливаться: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а) половозрастные коэффициенты в разрезе половозрастных групп населения;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б) перечень видов медицинской помощи, финансовое обеспечение которых осуществляется по </w:t>
      </w:r>
      <w:proofErr w:type="spellStart"/>
      <w:r w:rsidRPr="00C71FAC">
        <w:t>подушевому</w:t>
      </w:r>
      <w:proofErr w:type="spellEnd"/>
      <w:r w:rsidRPr="00C71FAC">
        <w:t xml:space="preserve"> нормативу финансирования;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в) перечень видов медицинской помощи, финансовое обеспечение которых осуществляется вне </w:t>
      </w:r>
      <w:proofErr w:type="spellStart"/>
      <w:r w:rsidRPr="00C71FAC">
        <w:t>подушевого</w:t>
      </w:r>
      <w:proofErr w:type="spellEnd"/>
      <w:r w:rsidRPr="00C71FAC">
        <w:t xml:space="preserve"> норматива финансирования;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г) средний размер финансового обеспечения медицинской помощи,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д) размеры базовых </w:t>
      </w:r>
      <w:proofErr w:type="spellStart"/>
      <w:r w:rsidRPr="00C71FAC">
        <w:t>подушевых</w:t>
      </w:r>
      <w:proofErr w:type="spellEnd"/>
      <w:r w:rsidRPr="00C71FAC">
        <w:t xml:space="preserve"> нормативов финансирования в соответствии с перечнем расходов на медицинскую помощь, финансовое обеспечение которых осуществляется по </w:t>
      </w:r>
      <w:proofErr w:type="spellStart"/>
      <w:r w:rsidRPr="00C71FAC">
        <w:t>подушевому</w:t>
      </w:r>
      <w:proofErr w:type="spellEnd"/>
      <w:r w:rsidRPr="00C71FAC">
        <w:t xml:space="preserve"> нормативу финансирования (при необходимости могут выделяться отдельные базовые </w:t>
      </w:r>
      <w:proofErr w:type="spellStart"/>
      <w:r w:rsidRPr="00C71FAC">
        <w:t>подушевые</w:t>
      </w:r>
      <w:proofErr w:type="spellEnd"/>
      <w:r w:rsidRPr="00C71FAC">
        <w:t xml:space="preserve"> нормативы финансирования на прикрепившихся лиц по профилям "Акушерство и гинекология" и "Стоматология");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е) значения дифференцированных </w:t>
      </w:r>
      <w:proofErr w:type="spellStart"/>
      <w:r w:rsidRPr="00C71FAC">
        <w:t>подушевых</w:t>
      </w:r>
      <w:proofErr w:type="spellEnd"/>
      <w:r w:rsidRPr="00C71FAC">
        <w:t xml:space="preserve"> нормативов финансирования для медицинских организаций </w:t>
      </w:r>
      <w:proofErr w:type="gramStart"/>
      <w:r w:rsidRPr="00C71FAC">
        <w:t>с учетом</w:t>
      </w:r>
      <w:proofErr w:type="gramEnd"/>
      <w:r w:rsidRPr="00C71FAC">
        <w:t xml:space="preserve"> установленных в тарифном соглашении: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человек, и расходов на их содержание и оплату труда персонала;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половозрастного состава;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уровня расходов медицинских организаций (особенности плотности населения, транспортной доступности, климатических и географических особенностей, площади медицинской организации);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достижения целевых показателей уровня заработной платы медицинских работников, предусмотренного "дорожными картами" развития здравоохранения в субъекте Российской Федерации &lt;6&gt;;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&lt;6&gt; </w:t>
      </w:r>
      <w:hyperlink r:id="rId15">
        <w:r w:rsidRPr="00C71FAC">
          <w:t>Указ</w:t>
        </w:r>
      </w:hyperlink>
      <w:r w:rsidRPr="00C71FAC">
        <w:t xml:space="preserve"> Президента Российской Федерации от 7 мая 2012 г. N 597 "О мероприятиях по реализации государственной социальной политики" (Собрание законодательства Российской Федерации, 2012, N 19, ст. 2334).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 xml:space="preserve">коэффициентов дифференциации &lt;7&gt; (в случае, если коэффициент дифференциации не является единым для всей территории субъекта Российской Федерации - значение коэффициента </w:t>
      </w:r>
      <w:r w:rsidRPr="00C71FAC">
        <w:lastRenderedPageBreak/>
        <w:t>дифференциации по территориям оказания медицинской помощи устанавливается для каждой медицинской организации);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&lt;7&gt; </w:t>
      </w:r>
      <w:hyperlink r:id="rId16">
        <w:r w:rsidRPr="00C71FAC">
          <w:t>Постановление</w:t>
        </w:r>
      </w:hyperlink>
      <w:r w:rsidRPr="00C71FAC"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(Собрание законодательства Российской Федерации, 2012, N 20, ст. 2559; 2022, N 49, ст. 8659).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ж) тарифы на оплату единиц объема медицинской помощи (медицинская услуга &lt;8&gt;, услуга диализа, посещение, обращение (законченный случай), комплексные посещения, применяемые в том числе для оплаты стоимости медицинской помощи, оказанной медицинскими организациями субъекта Российской Федерации лицам, застрахованным на территории других субъектов Российской Федерации;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&lt;8&gt; </w:t>
      </w:r>
      <w:hyperlink r:id="rId17">
        <w:r w:rsidRPr="00C71FAC">
          <w:t>Приказ</w:t>
        </w:r>
      </w:hyperlink>
      <w:r w:rsidRPr="00C71FAC">
        <w:t xml:space="preserve"> 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 с изменениями, внесенными приказами Министерства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 марта 2020 г. N 148н (зарегистрирован Министерством юстиции Российской Федерации 7 апреля 2020 г., регистрационный N 57990), от 24 сентября 2020 г. N 1010н (зарегистрирован Министерством юстиции Российской Федерации 18 декабря 2020 г., регистрационный N 61562).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 xml:space="preserve">з) перечень показателей результативности деятельности медицинских организаций, финансируемых по </w:t>
      </w:r>
      <w:proofErr w:type="spellStart"/>
      <w:r w:rsidRPr="00C71FAC">
        <w:t>подушевому</w:t>
      </w:r>
      <w:proofErr w:type="spellEnd"/>
      <w:r w:rsidRPr="00C71FAC">
        <w:t xml:space="preserve"> нормативу финансирования на прикрепившихся лиц, предусмотренный </w:t>
      </w:r>
      <w:hyperlink w:anchor="P181">
        <w:r w:rsidRPr="00C71FAC">
          <w:t>приложением</w:t>
        </w:r>
      </w:hyperlink>
      <w:r w:rsidRPr="00C71FAC">
        <w:t xml:space="preserve"> к Требованиям;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и) размер финансового обеспечения фельдшерских, фельдшерско-акушерских пунктов при условии их соответствия (несоответствия) требованиям, предусмотренным </w:t>
      </w:r>
      <w:hyperlink r:id="rId18">
        <w:r w:rsidRPr="00C71FAC">
          <w:t>положением</w:t>
        </w:r>
      </w:hyperlink>
      <w:r w:rsidRPr="00C71FAC">
        <w:t xml:space="preserve"> об организации оказания первичной медико-санитарной помощи взрослому населению &lt;9&gt;;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&lt;9&gt; </w:t>
      </w:r>
      <w:hyperlink r:id="rId19">
        <w:r w:rsidRPr="00C71FAC">
          <w:t>Приказ</w:t>
        </w:r>
      </w:hyperlink>
      <w:r w:rsidRPr="00C71FAC">
        <w:t xml:space="preserve"> Минздравсоцразвития России от 15 мая 2012 г. N 543н "Об утверждении Положения об организации оказания первичной медико-санитарной помощи взрослому населению" (зарегистрирован Министерством юстиции Российской Федерации 27 июня 2012 г., регистрационный N 24726)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57452), от 21 февраля 2020 г. N 114н (зарегистрирован Министерством юстиции Российской Федерации 28 июля 2020 г., регистрационный N 59083).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5.2. При определении размера тарифов на оплату медицинской помощи в стационарных условиях и в условиях дневного стационара должны устанавливаться: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а)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б) перечень клинико-статистических групп заболеваний (далее - КСГ), в соответствии с перечнем заболеваний, состояний (групп заболеваний, состояний), при которых оказывается специализированная медицинская помощь (за исключением высокотехнологичной медицинской помощи),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</w:t>
      </w:r>
      <w:proofErr w:type="spellStart"/>
      <w:r w:rsidRPr="00C71FAC">
        <w:t>затратоемкости</w:t>
      </w:r>
      <w:proofErr w:type="spellEnd"/>
      <w:r w:rsidRPr="00C71FAC">
        <w:t xml:space="preserve"> КСГ, в соответствии с перечнем, приведенным в программе государственных гарантий бесплатного оказания гражданам медицинской помощи;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в) размер базовой ставки (размер средней стоимости законченного случая лечения, включенного в КСГ):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 в стационарных условиях не ниже 65% от норматива финансовых затрат на 1 случай госпитализации, установленного территориальной программой обязательного медицинского страхования;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 в условиях дневного стационара не ниже 60% от норматива финансовых затрат на 1 случай лечения, установленного территориальной программой обязательного медицинского страхования;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г) значения коэффициентов: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 коэффициента дифференциации &lt;10&gt; (в случае, если коэффициент дифференциации не является единым для всей территории субъекта Российской Федерации - значение коэффициента дифференциации устанавливается по территориям оказания медицинской помощи для каждой медицинской организации);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&lt;10&gt; </w:t>
      </w:r>
      <w:hyperlink r:id="rId20">
        <w:r w:rsidRPr="00C71FAC">
          <w:t>Постановление</w:t>
        </w:r>
      </w:hyperlink>
      <w:r w:rsidRPr="00C71FAC"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(Собрание законодательства Российской Федерации, 2012, N 20, ст. 2559; 2022, N 49, ст. 8659).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- коэффициентов специфики - от 0,8 до 1,4;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 коэффициентов сложности лечения пациента: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предоставление спального места и питания законному представителю несовершеннолетних (детей до 4 лет, детей старше 4 лет при наличии медицинских показаний) - 0,20;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предоставление спального места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профилю "Детская онкология" и (или) "гематология", - 0,60;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lastRenderedPageBreak/>
        <w:t>оказание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 - 0,20;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развертывание индивидуального поста - 0,20;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наличие у пациента тяжелой сопутствующей патологии, требующей оказания медицинской помощи в период госпитализации, - 0,60;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проведение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реанимация", и его укомплектования в соответствии с порядком оказания медицинской помощи по медицинской реабилитации) - 0,15;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проведение сопроводительной лекарственной терапии при злокачественных новообразованиях у взрослых: в стационарных условиях - 0,63; в условиях дневного стационара - 1,20;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операций: уровень 1 - 0,05; уровень 2 - 0,47; уровень 3 - 1,16; уровень 4 - 2,07; уровень 5 - 3,49;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проведение тестирования на выявление респираторных вирусных заболеваний (гриппа, новой </w:t>
      </w:r>
      <w:proofErr w:type="spellStart"/>
      <w:r w:rsidRPr="00C71FAC">
        <w:t>коронавирусной</w:t>
      </w:r>
      <w:proofErr w:type="spellEnd"/>
      <w:r w:rsidRPr="00C71FAC">
        <w:t xml:space="preserve"> инфекции COVID-19) в период госпитализации - 0,05;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остальные случаи - 0.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При расчете тарифа на оплату медицинской помощи значения коэффициентов сложности лечения пациента применяются к размеру базовой ставки, скорректированному с учетом коэффициента дифференциации по территориям оказания медицинской помощи,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 коэффициент уровня (подуровня) оказания медицинской помощи в разрезе медицинских организаций и (или) структурных подразделений медицинских организаций: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 первому уровню медицинской организации относятся медицинские организации и (или) структурные подразделения медицинских организаций, оказывающие медицинскую помощь (за исключением высокотехнологичной) населению в пределах муниципального образования (внутригородского округа);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 второму уровню медицинской организации относятся медицинские организации и (или) структурные подразделения медицинских организаций, имеющие в своей структуре отделения и (или) центры, оказывающие медицинскую помощь (за исключением высокотехнологичной) населению нескольких муниципальных образований, медицинские организации (структурные подразделения медицинских организаций), расположенные на территории закрытых административных территориальных образований, а также специализированные больницы, центры, диспансеры;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к третьему уровню медицинской организации относятся медицинские организации и (или) структурные подразделения медицинских организаций, оказывающие населению </w:t>
      </w:r>
      <w:r w:rsidRPr="00C71FAC">
        <w:lastRenderedPageBreak/>
        <w:t>высокотехнологичную медицинскую помощь.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Размеры коэффициента первого уровня медицинских организаций - 0,9, при выделении подуровней - от 0,8 до 1,0; второго уровня - 1,05, при выделении подуровней - от 0,9 до 1,2; третьего уровня - 1,25, при выделении подуровней - от 1,1 до 1,4.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Для медицинских организаций и (или) структурных подразделений медицинских организаций, расположенных на территории закрытых административных территориальных образований, - не менее 1,2.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д) размер оплаты прерванных случаев оказания медицинской помощи: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- при выполнении хирургического вмешательства и (или) </w:t>
      </w:r>
      <w:proofErr w:type="spellStart"/>
      <w:r w:rsidRPr="00C71FAC">
        <w:t>тромболитической</w:t>
      </w:r>
      <w:proofErr w:type="spellEnd"/>
      <w:r w:rsidRPr="00C71FAC">
        <w:t xml:space="preserve"> терапии: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при длительности лечения 3 дня и менее - от 80 до 90% от стоимости КСГ;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при длительности лечения более 3 дней - от 80 до 100% от стоимости КСГ;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- при невыполнении хирургического вмешательства и (или) </w:t>
      </w:r>
      <w:proofErr w:type="spellStart"/>
      <w:r w:rsidRPr="00C71FAC">
        <w:t>тромболитической</w:t>
      </w:r>
      <w:proofErr w:type="spellEnd"/>
      <w:r w:rsidRPr="00C71FAC">
        <w:t xml:space="preserve"> терапии: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при длительности лечения 3 дня и менее - от 20 до 50% от стоимости КСГ;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при длительности лечения более 3 дней - от 50 до 80% от стоимости КСГ;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е) доли заработной платы и прочих расходов в структуре затрат тарифа на оплату медицинской помощи по КСГ;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ж) тарифы на оплату услуг диализа;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з) перечень КСГ, при оплате которых не применяется коэффициент уровня (подуровня) медицинской организации;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и) перечень КСГ с оптимальной длительностью лечения до 3 дней включительно;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к) перечень КСГ, предполагающих хирургическое вмешательство или </w:t>
      </w:r>
      <w:proofErr w:type="spellStart"/>
      <w:r w:rsidRPr="00C71FAC">
        <w:t>тромболитическую</w:t>
      </w:r>
      <w:proofErr w:type="spellEnd"/>
      <w:r w:rsidRPr="00C71FAC">
        <w:t xml:space="preserve"> терапию;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л) тарифы на оплату законченных случаев оказания высокотехнологичной медицинской помощи, установленные с учетом применения коэффициента дифференциации (в случае наличия, по территориям оказания медицинской помощи) к доле заработной платы в составе норматива финансовых затрат на единицу объема медицинской помощи, установленной в программе государственных гарантий бесплатного оказания гражданам медицинской помощи.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5.3. При определении размера тарифов на оплату скорой медицинской помощи, оказанной вне медицинской организации, должны устанавливаться: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а) перечень видов медицинской помощи, финансовое обеспечение которых осуществляется по </w:t>
      </w:r>
      <w:proofErr w:type="spellStart"/>
      <w:r w:rsidRPr="00C71FAC">
        <w:t>подушевому</w:t>
      </w:r>
      <w:proofErr w:type="spellEnd"/>
      <w:r w:rsidRPr="00C71FAC">
        <w:t xml:space="preserve"> нормативу финансирования;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б) перечень видов медицинской помощи, финансовое обеспечение которых осуществляется вне </w:t>
      </w:r>
      <w:proofErr w:type="spellStart"/>
      <w:r w:rsidRPr="00C71FAC">
        <w:t>подушевого</w:t>
      </w:r>
      <w:proofErr w:type="spellEnd"/>
      <w:r w:rsidRPr="00C71FAC">
        <w:t xml:space="preserve"> норматива финансирования;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в) средний размер финансового обеспечения медицинской помощи,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lastRenderedPageBreak/>
        <w:t xml:space="preserve">г) размер базового </w:t>
      </w:r>
      <w:proofErr w:type="spellStart"/>
      <w:r w:rsidRPr="00C71FAC">
        <w:t>подушевого</w:t>
      </w:r>
      <w:proofErr w:type="spellEnd"/>
      <w:r w:rsidRPr="00C71FAC">
        <w:t xml:space="preserve"> норматива финансирования в соответствии с перечнем расходов на медицинскую помощь, финансовое обеспечение которых осуществляется по </w:t>
      </w:r>
      <w:proofErr w:type="spellStart"/>
      <w:r w:rsidRPr="00C71FAC">
        <w:t>подушевому</w:t>
      </w:r>
      <w:proofErr w:type="spellEnd"/>
      <w:r w:rsidRPr="00C71FAC">
        <w:t xml:space="preserve"> нормативу финансирования;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д) значения дифференцированных </w:t>
      </w:r>
      <w:proofErr w:type="spellStart"/>
      <w:r w:rsidRPr="00C71FAC">
        <w:t>подушевых</w:t>
      </w:r>
      <w:proofErr w:type="spellEnd"/>
      <w:r w:rsidRPr="00C71FAC">
        <w:t xml:space="preserve"> нормативов финансирования для медицинских организаций, с учетом установленных: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половозрастного состава;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уровня расходов медицинских организаций (особенности плотности населения, транспортной доступности, климатических и географических особенностей, размер медицинской организации);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коэффициентов достижения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 &lt;11&gt;;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&lt;11&gt; </w:t>
      </w:r>
      <w:hyperlink r:id="rId21">
        <w:r w:rsidRPr="00C71FAC">
          <w:t>Указ</w:t>
        </w:r>
      </w:hyperlink>
      <w:r w:rsidRPr="00C71FAC">
        <w:t xml:space="preserve"> Президента Российской Федерации от 7 мая 2012 г. N 597 "О мероприятиях по реализации государственной социальной политики" (Собрание законодательства Российской Федерации, 2012, N 19, ст. 2334).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коэффициентов дифференциации &lt;12&gt; (в случае, если коэффициент дифференциации не является единым для всей территории субъекта Российской Федерации - значение коэффициента дифференциации по территориям оказания медицинской помощи устанавливается для каждой медицинской организации);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&lt;12&gt; </w:t>
      </w:r>
      <w:hyperlink r:id="rId22">
        <w:r w:rsidRPr="00C71FAC">
          <w:t>Постановление</w:t>
        </w:r>
      </w:hyperlink>
      <w:r w:rsidRPr="00C71FAC"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(Собрание законодательства Российской Федерации, 2012, N 20, ст. 2559; 2020, N 42, ст. 6598).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е) тарифы на оплату единиц объема медицинской помощи (вызов), применяемые в том числе для оплаты стоимости медицинской помощи, оказанной медицинскими организациями субъекта Российской Федерации лицам, застрахованным на территории других субъектов Российской Федерации.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5.4. При определении размера тарифов на оплату медицинской помощи в медицинских организациях, имеющих в своем составе подразделения, оказывающие медицинскую помощь в амбулаторных условиях, стационарных условиях и в условиях дневного стационара, должны быть установлены элементы структуры тарифа, указанные в </w:t>
      </w:r>
      <w:hyperlink w:anchor="P63">
        <w:r w:rsidRPr="00C71FAC">
          <w:t>пункте 5.1</w:t>
        </w:r>
      </w:hyperlink>
      <w:r w:rsidRPr="00C71FAC">
        <w:t xml:space="preserve"> Требований.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6. Раздел "Размер неоплаты или неполной оплаты затрат медицинской организацией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качества" должен содержать применяемые к медицинским организациям, участвующим в реализации территориальных программ обязательного медицинского страхования, санкции за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страхованию. &lt;13&gt;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lastRenderedPageBreak/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&lt;13&gt; </w:t>
      </w:r>
      <w:hyperlink r:id="rId23">
        <w:r w:rsidRPr="00C71FAC">
          <w:t>Приказ</w:t>
        </w:r>
      </w:hyperlink>
      <w:r w:rsidRPr="00C71FAC">
        <w:t xml:space="preserve"> Министерства здравоохранения Российской Федерации от 19 марта 2021 г. N 231н "Об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обеспечения" (зарегистрирован Министерством юстиции Российской Федерации 13 мая 2021 г., регистрационный N 63410)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7. Раздел "Распределение объемов предоставления и финансового обеспечения медицинской помощи между медицинскими организациями" устанавливает распределенные объемы на оказание медицинской помощи в разрезе медицинских организаций по видам, формам и условиям предоставления медицинской помощи.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недопущения превышения нормативов объемов предоставления медицинской помощи и нормативов финансового обеспечения медицинской помощи,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&lt;14&gt;.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&lt;14&gt; </w:t>
      </w:r>
      <w:hyperlink r:id="rId24">
        <w:r w:rsidRPr="00C71FAC">
          <w:t>Пункт 4</w:t>
        </w:r>
      </w:hyperlink>
      <w:r w:rsidRPr="00C71FAC">
        <w:t xml:space="preserve">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страхования, утвержденного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67559), от 13 декабря 2022 г. N 789н (зарегистрирован Министерством юстиции Российской Федерации 30 декабря 2022 г., регистрационный N 71905).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В случае распределения объемов предоставления медицинской помощи и финансового обеспечения медицинской помощи для медицинских организаций, включенных в единый реестр медицинских организаций, осуществляющих деятельность в сфере обязательного медицинского страхования &lt;15&gt;, в течение текущего финансового года, указанные медицинские организации отражаются в тарифном соглашении с указанием даты их включения в единый реестр медицинских организаций, осуществляющих деятельность в сфере обязательного медицинского страхования.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lastRenderedPageBreak/>
        <w:t xml:space="preserve">&lt;15&gt; </w:t>
      </w:r>
      <w:hyperlink r:id="rId25">
        <w:r w:rsidRPr="00C71FAC">
          <w:t>Статья 15</w:t>
        </w:r>
      </w:hyperlink>
      <w:r w:rsidRPr="00C71FAC">
        <w:t xml:space="preserve"> Федерального закона N 326-ФЗ (Собрание законодательства Российской Федерации, 2010, N 49, ст. 6422; 2020, N 50, ст. 8075).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В целях осуществления контроля эффективности деятельности медицинских организаций, в том числе расположенных в городской и сельской местности, производится их оценка в соответствии с методикой расчета значений показателей результативности деятельности медицинских организаций &lt;16&gt;.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&lt;16&gt; </w:t>
      </w:r>
      <w:hyperlink r:id="rId26">
        <w:r w:rsidRPr="00C71FAC">
          <w:t>Пункт 3 части 1 статьи 7</w:t>
        </w:r>
      </w:hyperlink>
      <w:r w:rsidRPr="00C71FAC"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17, ст. 2725).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8. Раздел "Заключительные положения" должен устанавливать срок действия тарифного соглашения и период вступления в силу внесенных в него изменений.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jc w:val="right"/>
        <w:outlineLvl w:val="1"/>
      </w:pPr>
      <w:r w:rsidRPr="00C71FAC">
        <w:t>Приложение</w:t>
      </w:r>
    </w:p>
    <w:p w:rsidR="008C13E3" w:rsidRPr="00C71FAC" w:rsidRDefault="008C13E3">
      <w:pPr>
        <w:pStyle w:val="ConsPlusNormal"/>
        <w:jc w:val="right"/>
      </w:pPr>
      <w:r w:rsidRPr="00C71FAC">
        <w:t>к Требованиям к структуре и содержанию</w:t>
      </w:r>
    </w:p>
    <w:p w:rsidR="008C13E3" w:rsidRPr="00C71FAC" w:rsidRDefault="008C13E3">
      <w:pPr>
        <w:pStyle w:val="ConsPlusNormal"/>
        <w:jc w:val="right"/>
      </w:pPr>
      <w:r w:rsidRPr="00C71FAC">
        <w:t>тарифного соглашения, утвержденным</w:t>
      </w:r>
    </w:p>
    <w:p w:rsidR="008C13E3" w:rsidRPr="00C71FAC" w:rsidRDefault="008C13E3">
      <w:pPr>
        <w:pStyle w:val="ConsPlusNormal"/>
        <w:jc w:val="right"/>
      </w:pPr>
      <w:r w:rsidRPr="00C71FAC">
        <w:t>приказом Министерства здравоохранения</w:t>
      </w:r>
    </w:p>
    <w:p w:rsidR="008C13E3" w:rsidRPr="00C71FAC" w:rsidRDefault="008C13E3">
      <w:pPr>
        <w:pStyle w:val="ConsPlusNormal"/>
        <w:jc w:val="right"/>
      </w:pPr>
      <w:r w:rsidRPr="00C71FAC">
        <w:t>Российской Федерации</w:t>
      </w:r>
    </w:p>
    <w:p w:rsidR="008C13E3" w:rsidRPr="00C71FAC" w:rsidRDefault="008C13E3">
      <w:pPr>
        <w:pStyle w:val="ConsPlusNormal"/>
        <w:jc w:val="right"/>
      </w:pPr>
      <w:r w:rsidRPr="00C71FAC">
        <w:t>от 10 февраля 2023 г. N 44н</w:t>
      </w:r>
    </w:p>
    <w:p w:rsidR="008C13E3" w:rsidRPr="00C71FAC" w:rsidRDefault="008C13E3">
      <w:pPr>
        <w:pStyle w:val="ConsPlusNormal"/>
        <w:jc w:val="right"/>
      </w:pPr>
    </w:p>
    <w:p w:rsidR="008C13E3" w:rsidRPr="00C71FAC" w:rsidRDefault="008C13E3">
      <w:pPr>
        <w:pStyle w:val="ConsPlusTitle"/>
        <w:jc w:val="center"/>
      </w:pPr>
      <w:bookmarkStart w:id="3" w:name="P181"/>
      <w:bookmarkEnd w:id="3"/>
      <w:r w:rsidRPr="00C71FAC">
        <w:t>ПОКАЗАТЕЛИ</w:t>
      </w:r>
    </w:p>
    <w:p w:rsidR="008C13E3" w:rsidRPr="00C71FAC" w:rsidRDefault="008C13E3">
      <w:pPr>
        <w:pStyle w:val="ConsPlusTitle"/>
        <w:jc w:val="center"/>
      </w:pPr>
      <w:r w:rsidRPr="00C71FAC">
        <w:t>РЕЗУЛЬТАТИВНОСТИ ДЕЯТЕЛЬНОСТИ МЕДИЦИНСКИХ ОРГАНИЗАЦИЙ,</w:t>
      </w:r>
    </w:p>
    <w:p w:rsidR="008C13E3" w:rsidRPr="00C71FAC" w:rsidRDefault="008C13E3">
      <w:pPr>
        <w:pStyle w:val="ConsPlusTitle"/>
        <w:jc w:val="center"/>
      </w:pPr>
      <w:r w:rsidRPr="00C71FAC">
        <w:t>ФИНАНСИРУЕМЫХ ПО ПОДУШЕВОМУ НОРМАТИВУ ФИНАНСИРОВАНИЯ</w:t>
      </w:r>
    </w:p>
    <w:p w:rsidR="008C13E3" w:rsidRPr="00C71FAC" w:rsidRDefault="008C13E3">
      <w:pPr>
        <w:pStyle w:val="ConsPlusTitle"/>
        <w:jc w:val="center"/>
      </w:pPr>
      <w:r w:rsidRPr="00C71FAC">
        <w:t>НА ПРИКРЕПИВШИХСЯ ЛИЦ</w:t>
      </w:r>
    </w:p>
    <w:p w:rsidR="008C13E3" w:rsidRPr="00C71FAC" w:rsidRDefault="008C13E3">
      <w:pPr>
        <w:pStyle w:val="ConsPlusNormal"/>
        <w:jc w:val="center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>1. Доля врачебных посещений с профилактической целью за период, от общего числа посещений за период (включая посещения на дому).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2. Доля взрослых с болезнями системы кровообращения, выявленными впервые при профилактических медицинских осмотрах и диспансеризации за период, от общего числа взрослых пациентов с болезнями системы кровообращения с впервые в жизни установленным диагнозом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3. Доля взрослых с установленным диагнозом злокачественное новообразование,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злокачественное новообразование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4. Доля взрослых с установленным диагнозом хроническая обструктивная болезнь легких,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хроническая обструктивная легочная болезнь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5. Доля взрослых с установленным диагнозом сахарный диабет, выявленным впервые при профилактических медицинских осмотрах и диспансеризации за период, от общего числа взрослых пациентов с впервые в жизни установленным диагнозом сахарный диабет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lastRenderedPageBreak/>
        <w:t>6. Выполнение плана вакцинации взрослых граждан по эпидемиологическим показаниям за период (</w:t>
      </w:r>
      <w:proofErr w:type="spellStart"/>
      <w:r w:rsidRPr="00C71FAC">
        <w:t>коронавирусная</w:t>
      </w:r>
      <w:proofErr w:type="spellEnd"/>
      <w:r w:rsidRPr="00C71FAC">
        <w:t xml:space="preserve"> инфекция COVID-19).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7. Доля взрослых с болезнями системы кровообращения &lt;1&gt;, имеющих высокий риск преждевременной смерти, состоящих под диспансерным наблюдением, от общего числа взрослых пациентов с болезнями системы кровообращения &lt;1&gt;, имеющих высокий риск преждевременной смерти,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bookmarkStart w:id="4" w:name="P194"/>
      <w:bookmarkEnd w:id="4"/>
      <w:r w:rsidRPr="00C71FAC">
        <w:t xml:space="preserve">&lt;1&gt; По Международной статистической </w:t>
      </w:r>
      <w:hyperlink r:id="rId27">
        <w:r w:rsidRPr="00C71FAC">
          <w:t>классификации</w:t>
        </w:r>
      </w:hyperlink>
      <w:r w:rsidRPr="00C71FAC">
        <w:t xml:space="preserve"> болезней и проблем, связанных со здоровьем.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 xml:space="preserve">8. Число взрослых с болезнями системы кровообращения </w:t>
      </w:r>
      <w:hyperlink w:anchor="P194">
        <w:r w:rsidRPr="00C71FAC">
          <w:t>&lt;1&gt;</w:t>
        </w:r>
      </w:hyperlink>
      <w:r w:rsidRPr="00C71FAC">
        <w:t xml:space="preserve">, имеющих высокий риск преждевременной смерти, которым за период оказана медицинская помощь в экстренной и неотложной форме, от общего числа взрослых пациентов с болезнями системы кровообращения </w:t>
      </w:r>
      <w:hyperlink w:anchor="P194">
        <w:r w:rsidRPr="00C71FAC">
          <w:t>&lt;1&gt;</w:t>
        </w:r>
      </w:hyperlink>
      <w:r w:rsidRPr="00C71FAC">
        <w:t>, имеющих высокий риск преждевременной смерти,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9. Доля взрослых с болезнями системы кровообращения, в отношении которых установлено диспансерное наблюдение за период, от общего числа взрослых пациентов с впервые в жизни установленным диагнозом болезни системы кровообращения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10. Доля взрослых с установленным диагнозом хроническая обструктивная болезнь легких, в отношении которых установлено диспансерное наблюдение за период, от общего числа взрослых пациентов с впервые в жизни установленным диагнозом хроническая обструктивная болезнь легких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11. Доля взрослых с установленным диагнозом сахарный диабет, в отношении которых установлено диспансерное наблюдение за период, от общего числа взрослых пациентов с впервые в жизни установленным диагнозом сахарный диабет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12. Доля взрослых, госпитализированных за период по экстренным показаниям в связи с обострением (декомпенсацией) состояний, по поводу которых пациент находится под диспансерным наблюдением, от общего числа взрослых пациентов, находящихся под диспансерным наблюдением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13. Доля взрослых, повторно госпитализированных за период по причине заболеваний сердечно-сосудистой системы или их осложнений в течение года с момента предыдущей госпитализации, от общего числа взрослых, госпитализированных за период по причине заболеваний сердечно-сосудистой системы или их осложнений.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14. Доля взрослых, находящихся под диспансерным наблюдением по поводу сахарного диабета, у которых впервые зарегистрированы осложнения за период (диабетическая ретинопатия, диабетическая стопа), от общего числа находящихся под диспансерным наблюдением по поводу сахарного диабета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15. Охват вакцинацией детей в рамках Национального </w:t>
      </w:r>
      <w:hyperlink r:id="rId28">
        <w:r w:rsidRPr="00C71FAC">
          <w:t>календаря</w:t>
        </w:r>
      </w:hyperlink>
      <w:r w:rsidRPr="00C71FAC">
        <w:t xml:space="preserve"> прививок &lt;2&gt;.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--------------------------------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&lt;2&gt; </w:t>
      </w:r>
      <w:hyperlink r:id="rId29">
        <w:r w:rsidRPr="00C71FAC">
          <w:t>Приказ</w:t>
        </w:r>
      </w:hyperlink>
      <w:r w:rsidRPr="00C71FAC">
        <w:t xml:space="preserve"> Минздрава России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Министерством юстиции Российской Федерации от 20 декабря 2021 г., регистрационный N 66435).</w:t>
      </w:r>
    </w:p>
    <w:p w:rsidR="008C13E3" w:rsidRPr="00C71FAC" w:rsidRDefault="008C13E3">
      <w:pPr>
        <w:pStyle w:val="ConsPlusNormal"/>
        <w:ind w:firstLine="540"/>
        <w:jc w:val="both"/>
      </w:pPr>
    </w:p>
    <w:p w:rsidR="008C13E3" w:rsidRPr="00C71FAC" w:rsidRDefault="008C13E3">
      <w:pPr>
        <w:pStyle w:val="ConsPlusNormal"/>
        <w:ind w:firstLine="540"/>
        <w:jc w:val="both"/>
      </w:pPr>
      <w:r w:rsidRPr="00C71FAC">
        <w:t xml:space="preserve">16. Доля детей, в отношении которых установлено диспансерное наблюдение по поводу </w:t>
      </w:r>
      <w:r w:rsidRPr="00C71FAC">
        <w:lastRenderedPageBreak/>
        <w:t>болезней костно-мышечной системы и соединительной ткани за период, от общего числа детей с впервые в жизни установленными диагнозами болезней костно-мышечной системы и соединительной ткани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17. Доля детей, в отношении которых установлено диспансерное наблюдение по поводу болезней глаза и его придаточного аппарата за период, от общего числа детей с впервые в жизни установленными диагнозами болезней глаза и его придаточного аппарата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18. Доля детей, в отношении которых установлено диспансерное наблюдение по поводу болезней органов пищеварения за период, от общего числа детей с впервые в жизни установленными диагнозами болезней органов пищеварения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19. Доля детей, в отношении которых установлено диспансерное наблюдение по поводу болезней системы кровообращения за период, от общего числа детей с впервые в жизни установленными диагнозами болезней системы кровообращения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20. Доля детей, в отношении которых установлено диспансерное наблюдение по поводу болезней эндокринной системы, расстройства питания и нарушения обмена веществ за период, от общего числа детей с впервые в жизни установленными диагнозами болезней эндокринной системы, расстройства питания и нарушения обмена веществ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21. Доля женщин, отказавшихся от искусственного прерывания беременности, от числа женщин, прошедших </w:t>
      </w:r>
      <w:proofErr w:type="spellStart"/>
      <w:r w:rsidRPr="00C71FAC">
        <w:t>доабортное</w:t>
      </w:r>
      <w:proofErr w:type="spellEnd"/>
      <w:r w:rsidRPr="00C71FAC">
        <w:t xml:space="preserve"> консультирование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 xml:space="preserve">22. Доля беременных женщин, вакцинированных от </w:t>
      </w:r>
      <w:proofErr w:type="spellStart"/>
      <w:r w:rsidRPr="00C71FAC">
        <w:t>коронавирусной</w:t>
      </w:r>
      <w:proofErr w:type="spellEnd"/>
      <w:r w:rsidRPr="00C71FAC">
        <w:t xml:space="preserve"> инфекции COVID-19, за период, от числа женщин, состоящих на учете по беременности и родам на начало периода.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23. Доля женщин с установленным диагнозом злокачественное новообразование шейки матки, выявленным впервые при диспансеризации, от общего числа женщин с установленным диагнозом злокачественное новообразование шейки матки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24. Доля женщин с установленным диагнозом злокачественное новообразование молочной железы, выявленным впервые при диспансеризации, от общего числа женщин с установленным диагнозом злокачественное новообразование молочной железы за период.</w:t>
      </w:r>
    </w:p>
    <w:p w:rsidR="008C13E3" w:rsidRPr="00C71FAC" w:rsidRDefault="008C13E3">
      <w:pPr>
        <w:pStyle w:val="ConsPlusNormal"/>
        <w:spacing w:before="220"/>
        <w:ind w:firstLine="540"/>
        <w:jc w:val="both"/>
      </w:pPr>
      <w:r w:rsidRPr="00C71FAC">
        <w:t>25. Доля беременных женщин, прошедших скрининг в части оценки антенатального развития плода за период, от общего числа женщин, состоявших на учете по поводу беременности и родов за период.</w:t>
      </w:r>
    </w:p>
    <w:p w:rsidR="008C13E3" w:rsidRPr="00C71FAC" w:rsidRDefault="008C13E3">
      <w:pPr>
        <w:pStyle w:val="ConsPlusNormal"/>
        <w:jc w:val="both"/>
      </w:pPr>
    </w:p>
    <w:p w:rsidR="008C13E3" w:rsidRPr="00C71FAC" w:rsidRDefault="008C13E3">
      <w:pPr>
        <w:pStyle w:val="ConsPlusNormal"/>
        <w:jc w:val="both"/>
      </w:pPr>
    </w:p>
    <w:p w:rsidR="008C13E3" w:rsidRPr="00C71FAC" w:rsidRDefault="008C13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6A2" w:rsidRPr="00C71FAC" w:rsidRDefault="003456A2"/>
    <w:sectPr w:rsidR="003456A2" w:rsidRPr="00C71FAC" w:rsidSect="0017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E3"/>
    <w:rsid w:val="003456A2"/>
    <w:rsid w:val="008C13E3"/>
    <w:rsid w:val="00C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DBC9-D82C-45C0-812F-7A10E20B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1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13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AE31AFD6C8D1EC7D3E0F00D8145C3D12A3F0C5D9C7EB8AC2DAC2E5ACB6B56DA020BE65DB7DD17D07B660C5FUE2EG" TargetMode="External"/><Relationship Id="rId13" Type="http://schemas.openxmlformats.org/officeDocument/2006/relationships/hyperlink" Target="consultantplus://offline/ref=A14AE31AFD6C8D1EC7D3E0F00D8145C3D12B3A0B5D9F7EB8AC2DAC2E5ACB6B56C80253EA5CB5C410D66E305D19B8EF72CCD651E2A20EB78AUE29G" TargetMode="External"/><Relationship Id="rId18" Type="http://schemas.openxmlformats.org/officeDocument/2006/relationships/hyperlink" Target="consultantplus://offline/ref=A14AE31AFD6C8D1EC7D3E0F00D8145C3D62C300E569C7EB8AC2DAC2E5ACB6B56C80253EA5CB5C316D66E305D19B8EF72CCD651E2A20EB78AUE29G" TargetMode="External"/><Relationship Id="rId26" Type="http://schemas.openxmlformats.org/officeDocument/2006/relationships/hyperlink" Target="consultantplus://offline/ref=A14AE31AFD6C8D1EC7D3E0F00D8145C3D12B3A0B5D9F7EB8AC2DAC2E5ACB6B56C80253EA59BDC843842131015CEFFC73CBD653E7BEU02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4AE31AFD6C8D1EC7D3E0F00D8145C3D42B310B5A9B7EB8AC2DAC2E5ACB6B56DA020BE65DB7DD17D07B660C5FUE2EG" TargetMode="External"/><Relationship Id="rId7" Type="http://schemas.openxmlformats.org/officeDocument/2006/relationships/hyperlink" Target="consultantplus://offline/ref=A14AE31AFD6C8D1EC7D3E0F00D8145C3D1293F0A5B9E7EB8AC2DAC2E5ACB6B56DA020BE65DB7DD17D07B660C5FUE2EG" TargetMode="External"/><Relationship Id="rId12" Type="http://schemas.openxmlformats.org/officeDocument/2006/relationships/hyperlink" Target="consultantplus://offline/ref=A14AE31AFD6C8D1EC7D3E0F00D8145C3D12B3A0B5D9F7EB8AC2DAC2E5ACB6B56C80253EA5CB5C717D06E305D19B8EF72CCD651E2A20EB78AUE29G" TargetMode="External"/><Relationship Id="rId17" Type="http://schemas.openxmlformats.org/officeDocument/2006/relationships/hyperlink" Target="consultantplus://offline/ref=A14AE31AFD6C8D1EC7D3E0F00D8145C3D62E390C5F997EB8AC2DAC2E5ACB6B56DA020BE65DB7DD17D07B660C5FUE2EG" TargetMode="External"/><Relationship Id="rId25" Type="http://schemas.openxmlformats.org/officeDocument/2006/relationships/hyperlink" Target="consultantplus://offline/ref=A14AE31AFD6C8D1EC7D3E0F00D8145C3D12B3A0B5D9F7EB8AC2DAC2E5ACB6B56C80253EA5CB5C212D66E305D19B8EF72CCD651E2A20EB78AUE2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4AE31AFD6C8D1EC7D3E0F00D8145C3D12A3A0D5F9B7EB8AC2DAC2E5ACB6B56DA020BE65DB7DD17D07B660C5FUE2EG" TargetMode="External"/><Relationship Id="rId20" Type="http://schemas.openxmlformats.org/officeDocument/2006/relationships/hyperlink" Target="consultantplus://offline/ref=A14AE31AFD6C8D1EC7D3E0F00D8145C3D12A3A0D5F9B7EB8AC2DAC2E5ACB6B56DA020BE65DB7DD17D07B660C5FUE2EG" TargetMode="External"/><Relationship Id="rId29" Type="http://schemas.openxmlformats.org/officeDocument/2006/relationships/hyperlink" Target="consultantplus://offline/ref=A14AE31AFD6C8D1EC7D3E0F00D8145C3D1293B015E9D7EB8AC2DAC2E5ACB6B56DA020BE65DB7DD17D07B660C5FUE2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AE31AFD6C8D1EC7D3E0F00D8145C3D12A3F0C58997EB8AC2DAC2E5ACB6B56DA020BE65DB7DD17D07B660C5FUE2EG" TargetMode="External"/><Relationship Id="rId11" Type="http://schemas.openxmlformats.org/officeDocument/2006/relationships/hyperlink" Target="consultantplus://offline/ref=A14AE31AFD6C8D1EC7D3E0F00D8145C3D12A3E015C997EB8AC2DAC2E5ACB6B56C80253EA5CB4C017D76E305D19B8EF72CCD651E2A20EB78AUE29G" TargetMode="External"/><Relationship Id="rId24" Type="http://schemas.openxmlformats.org/officeDocument/2006/relationships/hyperlink" Target="consultantplus://offline/ref=A14AE31AFD6C8D1EC7D3E0F00D8145C3D12A3E015C997EB8AC2DAC2E5ACB6B56C80253EA5CB4C017D76E305D19B8EF72CCD651E2A20EB78AUE29G" TargetMode="External"/><Relationship Id="rId5" Type="http://schemas.openxmlformats.org/officeDocument/2006/relationships/hyperlink" Target="consultantplus://offline/ref=A14AE31AFD6C8D1EC7D3E0F00D8145C3D12B30085D977EB8AC2DAC2E5ACB6B56C80253EA59B3C843842131015CEFFC73CBD653E7BEU02FG" TargetMode="External"/><Relationship Id="rId15" Type="http://schemas.openxmlformats.org/officeDocument/2006/relationships/hyperlink" Target="consultantplus://offline/ref=A14AE31AFD6C8D1EC7D3E0F00D8145C3D42B310B5A9B7EB8AC2DAC2E5ACB6B56DA020BE65DB7DD17D07B660C5FUE2EG" TargetMode="External"/><Relationship Id="rId23" Type="http://schemas.openxmlformats.org/officeDocument/2006/relationships/hyperlink" Target="consultantplus://offline/ref=A14AE31AFD6C8D1EC7D3E0F00D8145C3D128380F599A7EB8AC2DAC2E5ACB6B56DA020BE65DB7DD17D07B660C5FUE2EG" TargetMode="External"/><Relationship Id="rId28" Type="http://schemas.openxmlformats.org/officeDocument/2006/relationships/hyperlink" Target="consultantplus://offline/ref=A14AE31AFD6C8D1EC7D3E0F00D8145C3D1293B015E9D7EB8AC2DAC2E5ACB6B56C80253EA5CB5C315D46E305D19B8EF72CCD651E2A20EB78AUE29G" TargetMode="External"/><Relationship Id="rId10" Type="http://schemas.openxmlformats.org/officeDocument/2006/relationships/hyperlink" Target="consultantplus://offline/ref=A14AE31AFD6C8D1EC7D3E0F00D8145C3D12B3A0B5D9F7EB8AC2DAC2E5ACB6B56C80253EA54B6C843842131015CEFFC73CBD653E7BEU02FG" TargetMode="External"/><Relationship Id="rId19" Type="http://schemas.openxmlformats.org/officeDocument/2006/relationships/hyperlink" Target="consultantplus://offline/ref=A14AE31AFD6C8D1EC7D3E0F00D8145C3D62C300E569C7EB8AC2DAC2E5ACB6B56DA020BE65DB7DD17D07B660C5FUE2E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A14AE31AFD6C8D1EC7D3E0F00D8145C3D12B3A0B5D9F7EB8AC2DAC2E5ACB6B56C80253EA54B6C843842131015CEFFC73CBD653E7BEU02FG" TargetMode="External"/><Relationship Id="rId9" Type="http://schemas.openxmlformats.org/officeDocument/2006/relationships/hyperlink" Target="consultantplus://offline/ref=A14AE31AFD6C8D1EC7D3E0F00D8145C3D12D3E0957967EB8AC2DAC2E5ACB6B56C80253EA5CB5C411D56E305D19B8EF72CCD651E2A20EB78AUE29G" TargetMode="External"/><Relationship Id="rId14" Type="http://schemas.openxmlformats.org/officeDocument/2006/relationships/hyperlink" Target="consultantplus://offline/ref=A14AE31AFD6C8D1EC7D3E0F00D8145C3D12A3E015C997EB8AC2DAC2E5ACB6B56C80253EA5CB5CA13D46E305D19B8EF72CCD651E2A20EB78AUE29G" TargetMode="External"/><Relationship Id="rId22" Type="http://schemas.openxmlformats.org/officeDocument/2006/relationships/hyperlink" Target="consultantplus://offline/ref=A14AE31AFD6C8D1EC7D3E0F00D8145C3D12A3A0D5F9B7EB8AC2DAC2E5ACB6B56DA020BE65DB7DD17D07B660C5FUE2EG" TargetMode="External"/><Relationship Id="rId27" Type="http://schemas.openxmlformats.org/officeDocument/2006/relationships/hyperlink" Target="consultantplus://offline/ref=A14AE31AFD6C8D1EC7D3E9E90A8145C3D22F3B015A9E7EB8AC2DAC2E5ACB6B56DA020BE65DB7DD17D07B660C5FUE2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6350</Words>
  <Characters>36195</Characters>
  <Application>Microsoft Office Word</Application>
  <DocSecurity>0</DocSecurity>
  <Lines>301</Lines>
  <Paragraphs>84</Paragraphs>
  <ScaleCrop>false</ScaleCrop>
  <Company/>
  <LinksUpToDate>false</LinksUpToDate>
  <CharactersWithSpaces>42461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Татьяна Андреевна</dc:creator>
  <cp:keywords/>
  <dc:description/>
  <cp:lastModifiedBy>Бурмистрова Татьяна Андреевна</cp:lastModifiedBy>
  <cp:revision>2</cp:revision>
  <dcterms:created xsi:type="dcterms:W3CDTF">2023-05-12T06:54:00Z</dcterms:created>
  <dcterms:modified xsi:type="dcterms:W3CDTF">2023-05-12T08:30:00Z</dcterms:modified>
</cp:coreProperties>
</file>